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2353"/>
          <w:sz w:val="44"/>
        </w:rPr>
        <w:t>Ordensregler</w:t>
      </w:r>
    </w:p>
    <w:p>
      <w:pPr>
        <w:jc w:val="center"/>
      </w:pPr>
      <w:r>
        <w:rPr>
          <w:i/>
          <w:color w:val="5A5A5A"/>
          <w:sz w:val="20"/>
        </w:rPr>
        <w:t>Skabelon til [Ungdomsskolens navn]</w:t>
      </w:r>
    </w:p>
    <w:p/>
    <w:p>
      <w:pPr>
        <w:pStyle w:val="Heading2"/>
        <w:spacing w:before="160" w:after="40"/>
      </w:pPr>
      <w:r>
        <w:t>Et trygt fællesskab</w:t>
      </w:r>
    </w:p>
    <w:p>
      <w:pPr>
        <w:spacing w:after="100" w:line="269" w:lineRule="auto"/>
      </w:pPr>
      <w:r>
        <w:t>Hos [Ungdomsskolens navn] skal alle kunne føle sig trygge, velkomne og respekterede. Derfor forventer vi, at alle deltagere bidrager positivt til fællesskabet.</w:t>
      </w:r>
    </w:p>
    <w:p>
      <w:pPr>
        <w:pStyle w:val="Heading2"/>
        <w:spacing w:before="160" w:after="40"/>
      </w:pPr>
      <w:r>
        <w:t>Respekt for hinanden</w:t>
      </w:r>
    </w:p>
    <w:p>
      <w:pPr>
        <w:spacing w:after="100" w:line="269" w:lineRule="auto"/>
      </w:pPr>
      <w:r>
        <w:t>Vi taler ordentligt til hinanden, lytter til hinanden og respekterer forskelligheder. Mobning, chikane, trusler eller diskriminerende adfærd accepteres ikke.</w:t>
      </w:r>
    </w:p>
    <w:p>
      <w:pPr>
        <w:pStyle w:val="Heading2"/>
        <w:spacing w:before="160" w:after="40"/>
      </w:pPr>
      <w:r>
        <w:t>Deltagelse og ansvar</w:t>
      </w:r>
    </w:p>
    <w:p>
      <w:pPr>
        <w:spacing w:after="100" w:line="269" w:lineRule="auto"/>
      </w:pPr>
      <w:r>
        <w:t>Når du er tilmeldt et hold eller en aktivitet, forventer vi, at du møder til tiden og deltager aktivt. Hvis du ikke kan komme, skal du give besked.</w:t>
      </w:r>
    </w:p>
    <w:p>
      <w:pPr>
        <w:pStyle w:val="Heading2"/>
        <w:spacing w:before="160" w:after="40"/>
      </w:pPr>
      <w:r>
        <w:t>Mobiltelefoner og udstyr</w:t>
      </w:r>
    </w:p>
    <w:p>
      <w:pPr>
        <w:spacing w:after="100" w:line="269" w:lineRule="auto"/>
      </w:pPr>
      <w:r>
        <w:t>Mobiltelefoner og andet udstyr må bruges, når det passer ind i aktiviteten og ikke forstyrrer undervisningen eller fællesskabet. Underviseren kan bede dig lægge telefonen væk.</w:t>
      </w:r>
    </w:p>
    <w:p>
      <w:pPr>
        <w:pStyle w:val="Heading2"/>
        <w:spacing w:before="160" w:after="40"/>
      </w:pPr>
      <w:r>
        <w:t>Rygning, alkohol og rusmidler</w:t>
      </w:r>
    </w:p>
    <w:p>
      <w:pPr>
        <w:spacing w:after="100" w:line="269" w:lineRule="auto"/>
      </w:pPr>
      <w:r>
        <w:t>Ungdomsskolens aktiviteter er røgfri og rusmiddelfri. Alkohol, euforiserende stoffer og andre rusmidler er ikke tilladt.</w:t>
      </w:r>
    </w:p>
    <w:p>
      <w:pPr>
        <w:pStyle w:val="Heading2"/>
        <w:spacing w:before="160" w:after="40"/>
      </w:pPr>
      <w:r>
        <w:t>Hærværk og ansvar for ting</w:t>
      </w:r>
    </w:p>
    <w:p>
      <w:pPr>
        <w:spacing w:after="100" w:line="269" w:lineRule="auto"/>
      </w:pPr>
      <w:r>
        <w:t>Vi passer på lokaler, materialer og hinandens ejendele. Hærværk eller ødelagte ting kan medføre erstatningsansvar.</w:t>
      </w:r>
    </w:p>
    <w:p>
      <w:pPr>
        <w:pStyle w:val="Heading2"/>
        <w:spacing w:before="160" w:after="40"/>
      </w:pPr>
      <w:r>
        <w:t>Hvis reglerne ikke overholdes</w:t>
      </w:r>
    </w:p>
    <w:p>
      <w:pPr>
        <w:spacing w:after="100" w:line="269" w:lineRule="auto"/>
      </w:pPr>
      <w:r>
        <w:t>Hvis ordensreglerne ikke overholdes, tager vi en samtale med deltageren og eventuelt forældre/værge. Ved alvorlige eller gentagne overtrædelser kan deltageren blive udelukket fra aktiviteten.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[Ungdomsskolens navn] | Skabelon | Tilpas før publicering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235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